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A1F2C"/>
          <w:sz w:val="28"/>
          <w:szCs w:val="28"/>
        </w:rPr>
        <w:t xml:space="preserve">Auto Transport Carrier Vetting Checklist</w:t>
      </w:r>
    </w:p>
    <w:p>
      <w:pPr>
        <w:spacing w:after="200"/>
      </w:pPr>
      <w:r>
        <w:rPr>
          <w:rFonts w:ascii="Arial" w:cs="Arial" w:eastAsia="Arial" w:hAnsi="Arial"/>
          <w:color w:val="4A5568"/>
          <w:sz w:val="18"/>
          <w:szCs w:val="18"/>
        </w:rPr>
        <w:t xml:space="preserve">Use this checklist for every carrier before assigning a vehicle load. Each step references a specific source, system, or document.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000"/>
        <w:gridCol w:w="1200"/>
        <w:gridCol w:w="2400"/>
        <w:gridCol w:w="1200"/>
        <w:gridCol w:w="54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02C"/>
                <w:sz w:val="16"/>
                <w:szCs w:val="16"/>
              </w:rPr>
              <w:t xml:space="preserve">Carrier: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02C"/>
                <w:sz w:val="16"/>
                <w:szCs w:val="16"/>
              </w:rPr>
              <w:t xml:space="preserve">USDOT: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02C"/>
                <w:sz w:val="16"/>
                <w:szCs w:val="16"/>
              </w:rPr>
              <w:t xml:space="preserve">MC/MX: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02C"/>
                <w:sz w:val="16"/>
                <w:szCs w:val="16"/>
              </w:rPr>
              <w:t xml:space="preserve">Date: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02C"/>
                <w:sz w:val="16"/>
                <w:szCs w:val="16"/>
              </w:rPr>
              <w:t xml:space="preserve">Reviewer: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202C"/>
                <w:sz w:val="16"/>
                <w:szCs w:val="16"/>
              </w:rPr>
              <w:t xml:space="preserve">Decision: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spacing w:after="0" w:before="20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3600"/>
        <w:gridCol w:w="1600"/>
        <w:gridCol w:w="2400"/>
        <w:gridCol w:w="1200"/>
        <w:gridCol w:w="12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Step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Source / System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What to Verify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Result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Notes / Red Flags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Verified By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202C"/>
                <w:sz w:val="14"/>
                <w:szCs w:val="14"/>
              </w:rPr>
              <w:t xml:space="preserve">1. Verify Identity &amp; FMCSA Authority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FMCSA SAFER (safer.fmcsa.dot.gov), L&amp;I Portal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Active authority, matching legal name, USDOT/MC match, property carrier authorization, contact info matches SAFER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3"/>
                <w:szCs w:val="13"/>
              </w:rPr>
              <w:t xml:space="preserve">Inactive, revoked, not authorized, name/address mismatch, contact mismatch with SAFER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202C"/>
                <w:sz w:val="14"/>
                <w:szCs w:val="14"/>
              </w:rPr>
              <w:t xml:space="preserve">2. Review SAFER Safety Data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SAFER Company Snapshot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Safety rating (Satisfactory / Conditional / Unsatisfactory / Unrated), inspection history, OOS summaries, crash data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3"/>
                <w:szCs w:val="13"/>
              </w:rPr>
              <w:t xml:space="preserve">Unsatisfactory rating, conditional without escalation review, concerning OOS patterns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202C"/>
                <w:sz w:val="14"/>
                <w:szCs w:val="14"/>
              </w:rPr>
              <w:t xml:space="preserve">3. Verify Insurance Coverage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COI, insurance agent confirmation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Active coverage, expiration date, public liability min $1M (motor vehicle haulers), cargo limits per your requirements, policy matches carrier entity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3"/>
                <w:szCs w:val="13"/>
              </w:rPr>
              <w:t xml:space="preserve">Expired COI, unverifiable agent, limits below requirement, policyholder mismatch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202C"/>
                <w:sz w:val="14"/>
                <w:szCs w:val="14"/>
              </w:rPr>
              <w:t xml:space="preserve">4. Screen for Fraud &amp; Identity Red Flags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FMCSA data, platform data, callback verification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Identity matches public records, no suspicious recent changes, no shared contact details across entities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3"/>
                <w:szCs w:val="13"/>
              </w:rPr>
              <w:t xml:space="preserve">Recent contact/address/ownership changes, shared details, payment changes, pressure to bypass workflow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202C"/>
                <w:sz w:val="14"/>
                <w:szCs w:val="14"/>
              </w:rPr>
              <w:t xml:space="preserve">5. Agreements &amp; Dispatch Documentation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Carrier agreement, dispatch sheet, eBOL/ePOD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No unauthorized re-brokering, driver identity confirmed, pickup/delivery contacts, documentation workflow accepted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3"/>
                <w:szCs w:val="13"/>
              </w:rPr>
              <w:t xml:space="preserve">Refuses terms, vague driver info, payment instructions inconsistent, avoids platform documentation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202C"/>
                <w:sz w:val="14"/>
                <w:szCs w:val="14"/>
              </w:rPr>
              <w:t xml:space="preserve">6. Performance History &amp; Route Fit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TMS history, carrier profile, prior load data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Equipment match, route familiarity, prior performance, communication history, cancellation/claim patterns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3"/>
                <w:szCs w:val="13"/>
              </w:rPr>
              <w:t xml:space="preserve">Repeat cancellations, claim patterns, equipment mismatch, communication issues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202C"/>
                <w:sz w:val="14"/>
                <w:szCs w:val="14"/>
              </w:rPr>
              <w:t xml:space="preserve">7. Document the Decision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Internal vetting record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Sources checked, date/result of each check, reviewer name, pass/review/reject decision, exception approvals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3"/>
                <w:szCs w:val="13"/>
              </w:rPr>
              <w:t xml:space="preserve">No timestamp, inconsistent exceptions, no manager approval for flagged items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202C"/>
                <w:sz w:val="14"/>
                <w:szCs w:val="14"/>
              </w:rPr>
              <w:t xml:space="preserve">8. Re-Check Before Next Load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SAFER, COI, platform data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>Authority still active, insurance still current, no FMCSA contact changes, performance still acceptable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3"/>
                <w:szCs w:val="13"/>
              </w:rPr>
              <w:t xml:space="preserve">Lapsed insurance (esp. if Certificate Holder only), FMCSA changes since last check, degraded performance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02C"/>
                <w:sz w:val="14"/>
                <w:szCs w:val="14"/>
              </w:rPr>
              <w:t xml:space="preserve"/>
            </w:r>
          </w:p>
        </w:tc>
      </w:tr>
    </w:tbl>
    <w:p>
      <w:pPr>
        <w:spacing w:after="0" w:before="200"/>
      </w:pPr>
    </w:p>
    <w:p>
      <w:r>
        <w:rPr>
          <w:rFonts w:ascii="Arial" w:cs="Arial" w:eastAsia="Arial" w:hAnsi="Arial"/>
          <w:b/>
          <w:bCs/>
          <w:sz w:val="18"/>
          <w:szCs w:val="18"/>
        </w:rPr>
        <w:t xml:space="preserve">Final Decision:  </w:t>
      </w:r>
      <w:r>
        <w:rPr>
          <w:rFonts w:ascii="Arial" w:cs="Arial" w:eastAsia="Arial" w:hAnsi="Arial"/>
          <w:color w:val="4A5568"/>
          <w:sz w:val="18"/>
          <w:szCs w:val="18"/>
        </w:rPr>
        <w:t xml:space="preserve">PASS  /  REVIEW REQUIRED  /  REJECT</w:t>
      </w:r>
      <w:r>
        <w:rPr>
          <w:rFonts w:ascii="Arial" w:cs="Arial" w:eastAsia="Arial" w:hAnsi="Arial"/>
          <w:color w:val="4A5568"/>
          <w:sz w:val="18"/>
          <w:szCs w:val="18"/>
        </w:rPr>
        <w:t xml:space="preserve">          Approved By: ___________________________   Date: ____________</w:t>
      </w:r>
    </w:p>
    <w:p>
      <w:pPr>
        <w:spacing w:after="0" w:before="160"/>
      </w:pPr>
    </w:p>
    <w:p>
      <w:pPr>
        <w:spacing w:before="100"/>
      </w:pPr>
      <w:r>
        <w:rPr>
          <w:rFonts w:ascii="Arial" w:cs="Arial" w:eastAsia="Arial" w:hAnsi="Arial"/>
          <w:b/>
          <w:bCs/>
          <w:color w:val="4A5568"/>
          <w:sz w:val="14"/>
          <w:szCs w:val="14"/>
        </w:rPr>
        <w:t xml:space="preserve">Result column: </w:t>
      </w:r>
      <w:r>
        <w:rPr>
          <w:rFonts w:ascii="Arial" w:cs="Arial" w:eastAsia="Arial" w:hAnsi="Arial"/>
          <w:color w:val="4A5568"/>
          <w:sz w:val="14"/>
          <w:szCs w:val="14"/>
        </w:rPr>
        <w:t xml:space="preserve">Pass = verified, no issues  |  Review = escalate to manager  |  Reject = do not dispatch  |  N/A = not applicable for this carrier</w:t>
      </w:r>
    </w:p>
    <w:p>
      <w:pPr>
        <w:spacing w:before="40"/>
      </w:pPr>
      <w:r>
        <w:rPr>
          <w:rFonts w:ascii="Arial" w:cs="Arial" w:eastAsia="Arial" w:hAnsi="Arial"/>
          <w:b/>
          <w:bCs/>
          <w:color w:val="4A5568"/>
          <w:sz w:val="14"/>
          <w:szCs w:val="14"/>
        </w:rPr>
        <w:t xml:space="preserve">Notes column: </w:t>
      </w:r>
      <w:r>
        <w:rPr>
          <w:rFonts w:ascii="Arial" w:cs="Arial" w:eastAsia="Arial" w:hAnsi="Arial"/>
          <w:color w:val="4A5568"/>
          <w:sz w:val="14"/>
          <w:szCs w:val="14"/>
        </w:rPr>
        <w:t xml:space="preserve">Pre-populated with common red flags. Use this column to record specific findings, exceptions, or follow-up actions.</w:t>
      </w:r>
    </w:p>
    <w:p>
      <w:pPr>
        <w:spacing w:before="40"/>
      </w:pPr>
      <w:r>
        <w:rPr>
          <w:rFonts w:ascii="Arial" w:cs="Arial" w:eastAsia="Arial" w:hAnsi="Arial"/>
          <w:i/>
          <w:iCs/>
          <w:color w:val="718096"/>
          <w:sz w:val="14"/>
          <w:szCs w:val="14"/>
        </w:rPr>
        <w:t xml:space="preserve">Retain this record for a minimum of three years (49 CFR 371.3 for brokers). Full SOP: superdispatch.com/blog/carrier-vetting-process/</w:t>
      </w:r>
    </w:p>
    <w:p>
      <w:pPr>
        <w:spacing w:before="40"/>
      </w:pPr>
      <w:r>
        <w:rPr>
          <w:rFonts w:ascii="Arial" w:cs="Arial" w:eastAsia="Arial" w:hAnsi="Arial"/>
          <w:b/>
          <w:bCs/>
          <w:color w:val="FB4A45"/>
          <w:sz w:val="14"/>
          <w:szCs w:val="14"/>
        </w:rPr>
        <w:t xml:space="preserve">superdispatch.com/superprotect</w:t>
      </w:r>
      <w:r>
        <w:rPr>
          <w:rFonts w:ascii="Arial" w:cs="Arial" w:eastAsia="Arial" w:hAnsi="Arial"/>
          <w:color w:val="718096"/>
          <w:sz w:val="14"/>
          <w:szCs w:val="14"/>
        </w:rPr>
        <w:t xml:space="preserve">  |  See how SuperProtect surfaces carrier risk context inside Shipper TMS.</w:t>
      </w:r>
    </w:p>
    <w:sectPr>
      <w:pgSz w:w="15840" w:h="12240" w:orient="landscape"/>
      <w:pgMar w:top="72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1A1F2C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2026-06-25T20:54:08.953Z</dcterms:created>
  <dcterms:modified xsi:type="dcterms:W3CDTF">2026-06-25T20:54:08.953Z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